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4"/>
        <w:spacing w:before="0" w:after="0" w:line="360" w:lineRule="auto"/>
        <w:rPr>
          <w:rFonts w:ascii="Arial" w:hAnsi="Arial" w:cs="Arial" w:eastAsiaTheme="majorEastAsia"/>
          <w:sz w:val="28"/>
          <w:szCs w:val="28"/>
        </w:rPr>
      </w:pPr>
      <w:r>
        <w:rPr>
          <w:rFonts w:hint="eastAsia" w:ascii="Arial" w:hAnsi="Arial" w:cs="Arial" w:eastAsiaTheme="majorEastAsia"/>
          <w:sz w:val="28"/>
          <w:szCs w:val="28"/>
          <w:lang w:val="en-US" w:eastAsia="zh-CN"/>
        </w:rPr>
        <w:t>供应商</w:t>
      </w:r>
      <w:r>
        <w:rPr>
          <w:rFonts w:ascii="Arial" w:hAnsi="Arial" w:cs="Arial" w:eastAsiaTheme="majorEastAsia"/>
          <w:sz w:val="28"/>
          <w:szCs w:val="28"/>
        </w:rPr>
        <w:t>的资格要求</w:t>
      </w:r>
      <w:bookmarkStart w:id="0" w:name="_GoBack"/>
      <w:bookmarkEnd w:id="0"/>
    </w:p>
    <w:p>
      <w:pPr>
        <w:pStyle w:val="5"/>
        <w:numPr>
          <w:ilvl w:val="0"/>
          <w:numId w:val="0"/>
        </w:numPr>
        <w:spacing w:before="0" w:after="0" w:line="360" w:lineRule="auto"/>
        <w:rPr>
          <w:rFonts w:ascii="Arial" w:hAnsi="Arial" w:cs="Arial" w:eastAsiaTheme="majorEastAsia"/>
          <w:b/>
          <w:bCs w:val="0"/>
          <w:sz w:val="24"/>
          <w:szCs w:val="24"/>
        </w:rPr>
      </w:pPr>
      <w:r>
        <w:rPr>
          <w:rFonts w:hint="eastAsia" w:ascii="Arial" w:hAnsi="Arial" w:cs="Arial" w:eastAsiaTheme="majorEastAsia"/>
          <w:b/>
          <w:bCs w:val="0"/>
          <w:sz w:val="24"/>
          <w:szCs w:val="24"/>
          <w:lang w:val="en-US" w:eastAsia="zh-CN"/>
        </w:rPr>
        <w:t>1.</w:t>
      </w:r>
      <w:r>
        <w:rPr>
          <w:rFonts w:ascii="Arial" w:hAnsi="Arial" w:cs="Arial" w:eastAsiaTheme="majorEastAsia"/>
          <w:b/>
          <w:bCs w:val="0"/>
          <w:sz w:val="24"/>
          <w:szCs w:val="24"/>
        </w:rPr>
        <w:t>本项目特定的资格要求：</w:t>
      </w:r>
    </w:p>
    <w:p>
      <w:pPr>
        <w:spacing w:line="360" w:lineRule="auto"/>
        <w:ind w:firstLine="422" w:firstLineChars="20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1.1</w:t>
      </w:r>
      <w:r>
        <w:rPr>
          <w:rFonts w:hint="eastAsia" w:ascii="Arial" w:hAnsi="Arial" w:cs="Arial"/>
          <w:lang w:val="en-US" w:eastAsia="zh-CN"/>
        </w:rPr>
        <w:t>制造行业3D GPU场景（重场景下）超过300个点，项目桌面规模在1500用户以上的客户案例至少3个且能提供参观。 2022~2024年实施完成的云桌面项目（1000点以上）不少于5个。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1.2</w:t>
      </w:r>
      <w:r>
        <w:rPr>
          <w:rFonts w:ascii="Arial" w:hAnsi="Arial" w:cs="Arial"/>
        </w:rPr>
        <w:t>供应商未被列入“信用中国”网站（www.creditchina.gov.cn）“记录失信被执行人或重大税收违法失信主体（以</w:t>
      </w:r>
      <w:r>
        <w:rPr>
          <w:rFonts w:hint="eastAsia" w:ascii="Arial" w:hAnsi="Arial" w:cs="Arial"/>
          <w:lang w:val="en-US" w:eastAsia="zh-CN"/>
        </w:rPr>
        <w:t>项目</w:t>
      </w:r>
      <w:r>
        <w:rPr>
          <w:rFonts w:ascii="Arial" w:hAnsi="Arial" w:cs="Arial"/>
        </w:rPr>
        <w:t>（响应）截止时间当天在“信用中国”网站（www.creditchina.gov.cn）查询结果为准，如相关失信记录已失效，供应商需提供相关证明资料）。</w:t>
      </w:r>
    </w:p>
    <w:p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1.3</w:t>
      </w:r>
      <w:r>
        <w:rPr>
          <w:rFonts w:ascii="Arial" w:hAnsi="Arial" w:cs="Arial"/>
        </w:rPr>
        <w:t>单位负责人为同一人或者存在直接控股、管理关系的不同供应商，不得同时参加本采购项目。为本项目提供整体设计、规范编制或者项目管理、监理、检测等服务的供应商，不得再参与本项目</w:t>
      </w:r>
      <w:r>
        <w:rPr>
          <w:rFonts w:hint="eastAsia" w:ascii="Arial" w:hAnsi="Arial" w:cs="Arial"/>
          <w:lang w:val="en-US" w:eastAsia="zh-CN"/>
        </w:rPr>
        <w:t>报价</w:t>
      </w:r>
      <w:r>
        <w:rPr>
          <w:rFonts w:ascii="Arial" w:hAnsi="Arial" w:cs="Arial"/>
        </w:rPr>
        <w:t>。</w:t>
      </w:r>
    </w:p>
    <w:p>
      <w:pPr>
        <w:snapToGrid w:val="0"/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1.4</w:t>
      </w:r>
      <w:r>
        <w:rPr>
          <w:rFonts w:ascii="Arial" w:hAnsi="Arial" w:cs="Arial"/>
        </w:rPr>
        <w:t>行业资质要</w:t>
      </w:r>
      <w:r>
        <w:rPr>
          <w:rFonts w:ascii="Arial" w:hAnsi="Arial" w:cs="Arial"/>
          <w:highlight w:val="none"/>
        </w:rPr>
        <w:t>求：</w:t>
      </w:r>
      <w:r>
        <w:rPr>
          <w:rFonts w:hint="eastAsia" w:ascii="Arial" w:hAnsi="Arial" w:cs="Arial"/>
          <w:highlight w:val="none"/>
          <w:lang w:val="en-US" w:eastAsia="zh-CN"/>
        </w:rPr>
        <w:t>参与供应商</w:t>
      </w:r>
      <w:r>
        <w:rPr>
          <w:rFonts w:ascii="Arial" w:hAnsi="Arial" w:cs="Arial"/>
          <w:highlight w:val="none"/>
        </w:rPr>
        <w:t>必须是20</w:t>
      </w:r>
      <w:r>
        <w:rPr>
          <w:rFonts w:hint="eastAsia" w:ascii="Arial" w:hAnsi="Arial" w:cs="Arial"/>
          <w:highlight w:val="none"/>
        </w:rPr>
        <w:t>19</w:t>
      </w:r>
      <w:r>
        <w:rPr>
          <w:rFonts w:ascii="Arial" w:hAnsi="Arial" w:cs="Arial"/>
          <w:highlight w:val="none"/>
        </w:rPr>
        <w:t xml:space="preserve"> 年1月 1日前</w:t>
      </w:r>
      <w:r>
        <w:rPr>
          <w:rFonts w:ascii="Arial" w:hAnsi="Arial" w:cs="Arial"/>
        </w:rPr>
        <w:t>在中国境内注册的独立法人企业，具有法定履行合同的资格与能力，如果为代理商，则至少为品牌金牌代理，且拥有至少一人为产品原厂认证的技术工程师。</w:t>
      </w:r>
    </w:p>
    <w:p>
      <w:pPr>
        <w:snapToGrid w:val="0"/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1.5</w:t>
      </w:r>
      <w:r>
        <w:rPr>
          <w:rFonts w:ascii="Arial" w:hAnsi="Arial" w:cs="Arial"/>
        </w:rPr>
        <w:t>注册资金：实收100万元人民币以上（含100万）；</w:t>
      </w:r>
    </w:p>
    <w:p>
      <w:pPr>
        <w:snapToGrid w:val="0"/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1.6</w:t>
      </w:r>
      <w:r>
        <w:rPr>
          <w:rFonts w:ascii="Arial" w:hAnsi="Arial" w:cs="Arial"/>
        </w:rPr>
        <w:t>售后服务：提供维保（提供上门服务，7*24小时响应）.出现故障时，须保证在24小内解决故障。</w:t>
      </w:r>
    </w:p>
    <w:p>
      <w:pPr>
        <w:snapToGrid w:val="0"/>
        <w:spacing w:line="360" w:lineRule="auto"/>
      </w:pPr>
      <w:r>
        <w:rPr>
          <w:rFonts w:hint="eastAsia" w:ascii="Arial" w:hAnsi="Arial" w:cs="Arial"/>
          <w:lang w:val="en-US" w:eastAsia="zh-CN"/>
        </w:rPr>
        <w:t>1.7</w:t>
      </w:r>
      <w:r>
        <w:rPr>
          <w:rFonts w:ascii="Arial" w:hAnsi="Arial" w:cs="Arial"/>
        </w:rPr>
        <w:t>其他：必须在珠三角地区设有分/子公司或办事处的企业。</w:t>
      </w:r>
    </w:p>
    <w:p>
      <w:pPr>
        <w:pStyle w:val="5"/>
        <w:spacing w:before="0" w:after="0" w:line="360" w:lineRule="auto"/>
        <w:rPr>
          <w:rFonts w:ascii="Arial" w:hAnsi="Arial" w:cs="Arial" w:eastAsiaTheme="majorEastAsia"/>
          <w:b/>
          <w:bCs w:val="0"/>
          <w:sz w:val="24"/>
          <w:szCs w:val="24"/>
        </w:rPr>
      </w:pPr>
      <w:r>
        <w:rPr>
          <w:rFonts w:hint="eastAsia" w:ascii="Arial" w:hAnsi="Arial" w:cs="Arial" w:eastAsiaTheme="majorEastAsia"/>
          <w:b/>
          <w:bCs w:val="0"/>
          <w:sz w:val="24"/>
          <w:szCs w:val="24"/>
          <w:lang w:val="en-US" w:eastAsia="zh-CN"/>
        </w:rPr>
        <w:t>2</w:t>
      </w:r>
      <w:r>
        <w:rPr>
          <w:rFonts w:ascii="Arial" w:hAnsi="Arial" w:cs="Arial" w:eastAsiaTheme="majorEastAsia"/>
          <w:b/>
          <w:bCs w:val="0"/>
          <w:sz w:val="24"/>
          <w:szCs w:val="24"/>
        </w:rPr>
        <w:t>.</w:t>
      </w:r>
      <w:r>
        <w:rPr>
          <w:rFonts w:hint="eastAsia" w:ascii="Arial" w:hAnsi="Arial" w:cs="Arial" w:eastAsiaTheme="majorEastAsia"/>
          <w:b/>
          <w:bCs w:val="0"/>
          <w:sz w:val="24"/>
          <w:szCs w:val="24"/>
          <w:lang w:val="en-US" w:eastAsia="zh-CN"/>
        </w:rPr>
        <w:t>参与供应商</w:t>
      </w:r>
      <w:r>
        <w:rPr>
          <w:rFonts w:ascii="Arial" w:hAnsi="Arial" w:cs="Arial" w:eastAsiaTheme="majorEastAsia"/>
          <w:b/>
          <w:bCs w:val="0"/>
          <w:sz w:val="24"/>
          <w:szCs w:val="24"/>
        </w:rPr>
        <w:t>应具备以下规定的条件，提供下列材料：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>1）具有独立承担民事责任的能力：在中华人民共和国境内注册的法人或非法人组织，提交有效的营业执照（或事业法人登记证等相关证明）副本复印件（加盖公章）。分支机构，须分别提供总公司和分公司营业执照副本复印件（加盖公章），及总公司出具给分支机构的授权书原件。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>2）有依法缴纳税收和社会保障资金的良好记录：提供</w:t>
      </w:r>
      <w:r>
        <w:rPr>
          <w:rFonts w:hint="eastAsia" w:ascii="Arial" w:hAnsi="Arial" w:cs="Arial"/>
          <w:lang w:val="en-US" w:eastAsia="zh-CN"/>
        </w:rPr>
        <w:t>项目</w:t>
      </w:r>
      <w:r>
        <w:rPr>
          <w:rFonts w:ascii="Arial" w:hAnsi="Arial" w:cs="Arial"/>
        </w:rPr>
        <w:t>截止日前6个月内任意1个月依法缴纳税收和社会保障资金的相关材料。如依法免税或不需要缴纳社会保障资金的，提供相应证明材料。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>3）具有良好的商业信誉和健全的财务会计制度：供应商必须具有良好的商业信誉和健全的财务会计制度（提供2021年度或2022年度或2023年任意1个月的财务状况报告，或基本开户行出具的资信证明）。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>4）履行合同所必需的设备和专业技术能力：按</w:t>
      </w:r>
      <w:r>
        <w:rPr>
          <w:rFonts w:hint="eastAsia" w:ascii="Arial" w:hAnsi="Arial" w:cs="Arial"/>
          <w:lang w:val="en-US" w:eastAsia="zh-CN"/>
        </w:rPr>
        <w:t>项目</w:t>
      </w:r>
      <w:r>
        <w:rPr>
          <w:rFonts w:ascii="Arial" w:hAnsi="Arial" w:cs="Arial"/>
        </w:rPr>
        <w:t>文件格式填报设备及专业技术能力情况。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 xml:space="preserve">5）以本项目截止日期为准前3年内，在经营活动中没有重大违法记录：参照相关承诺格式内容。 </w:t>
      </w:r>
    </w:p>
    <w:p>
      <w:pPr>
        <w:spacing w:line="360" w:lineRule="auto"/>
        <w:ind w:firstLine="420" w:firstLineChars="200"/>
        <w:rPr>
          <w:rFonts w:ascii="Arial" w:hAnsi="Arial" w:cs="Arial"/>
        </w:rPr>
      </w:pPr>
      <w:r>
        <w:rPr>
          <w:rFonts w:ascii="Arial" w:hAnsi="Arial" w:cs="Arial"/>
        </w:rPr>
        <w:t>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。）</w:t>
      </w: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pStyle w:val="3"/>
        <w:jc w:val="both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</w:pPr>
    </w:p>
    <w:p>
      <w:pPr>
        <w:numPr>
          <w:ilvl w:val="0"/>
          <w:numId w:val="0"/>
        </w:numPr>
        <w:ind w:left="210" w:leftChars="0" w:hanging="210" w:hanging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OWRmOTJjODNlYjJiM2FmN2UyNjk0NmQ3NzcwOGMifQ=="/>
  </w:docVars>
  <w:rsids>
    <w:rsidRoot w:val="00000000"/>
    <w:rsid w:val="00FB4431"/>
    <w:rsid w:val="032072DD"/>
    <w:rsid w:val="079D4CDD"/>
    <w:rsid w:val="1B921AD1"/>
    <w:rsid w:val="1CDD090E"/>
    <w:rsid w:val="1E785F53"/>
    <w:rsid w:val="26E73152"/>
    <w:rsid w:val="3564333B"/>
    <w:rsid w:val="36AC178D"/>
    <w:rsid w:val="37740755"/>
    <w:rsid w:val="40274889"/>
    <w:rsid w:val="42845B2E"/>
    <w:rsid w:val="47D46525"/>
    <w:rsid w:val="4AC0272A"/>
    <w:rsid w:val="55B81234"/>
    <w:rsid w:val="59282B75"/>
    <w:rsid w:val="5B0B5A3F"/>
    <w:rsid w:val="5BA0525E"/>
    <w:rsid w:val="5EBC0342"/>
    <w:rsid w:val="64E32C8E"/>
    <w:rsid w:val="6AE36FE6"/>
    <w:rsid w:val="6D436BE9"/>
    <w:rsid w:val="7A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  <w:jc w:val="left"/>
    </w:pPr>
    <w:rPr>
      <w:rFonts w:ascii="宋体" w:hAnsi="宋体" w:eastAsia="宋体"/>
      <w:kern w:val="0"/>
      <w:sz w:val="24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2024-12-06T05:55:00Z</dcterms:created>
  <dc:creator>niuxc201103.HANSCNC.000</dc:creator>
  <cp:lastModifiedBy>qzuser</cp:lastModifiedBy>
  <dcterms:modified xsi:type="dcterms:W3CDTF">2024-12-09T06:00:10Z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732D6577C59D4C598BC1E3354CF0D876_13</vt:lpwstr>
  </property>
</Properties>
</file>